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2378EF" w:rsidRDefault="00CE09ED" w:rsidP="008004DD">
      <w:pPr>
        <w:spacing w:before="0" w:after="0"/>
      </w:pPr>
      <w:r>
        <w:t xml:space="preserve">Veröffentlicht: </w:t>
      </w:r>
      <w:r>
        <w:t>7</w:t>
      </w:r>
      <w:r>
        <w:rPr>
          <w:vertAlign w:val="superscript"/>
        </w:rPr>
        <w:t>th</w:t>
      </w:r>
      <w:r>
        <w:t xml:space="preserve"> March 2013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378EF" w:rsidRDefault="002378EF" w:rsidP="008004DD">
      <w:pPr>
        <w:spacing w:before="0" w:after="0"/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378EF" w:rsidRDefault="002378EF" w:rsidP="008004DD">
      <w:pPr>
        <w:spacing w:before="0" w:after="0"/>
      </w:pPr>
    </w:p>
    <w:p w:rsidR="00CE09ED" w:rsidRDefault="00DA7066" w:rsidP="008004DD">
      <w:pPr>
        <w:pStyle w:val="Heading2"/>
        <w:spacing w:before="0" w:after="0"/>
      </w:pPr>
      <w:r>
        <w:t>Renishaw bringt neue leistungsstarke Software auf den Markt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004DD" w:rsidRDefault="008004DD" w:rsidP="008004DD">
      <w:pPr>
        <w:spacing w:before="0" w:after="0"/>
        <w:rPr>
          <w:b/>
        </w:rPr>
      </w:pPr>
    </w:p>
    <w:p w:rsidR="00183A29" w:rsidRDefault="00E87304" w:rsidP="00183A29">
      <w:pPr>
        <w:spacing w:before="0" w:after="0"/>
        <w:rPr>
          <w:b/>
        </w:rPr>
      </w:pPr>
      <w:r>
        <w:rPr>
          <w:b/>
        </w:rPr>
        <w:t>Große Raman-Datensätze in HD-Qualität erfassen, analysieren und auswerten.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83A29" w:rsidRDefault="00183A29" w:rsidP="00183A29">
      <w:pPr>
        <w:spacing w:before="0" w:after="0"/>
        <w:rPr>
          <w:b/>
        </w:rPr>
      </w:pPr>
    </w:p>
    <w:p w:rsidR="006D51B8" w:rsidRPr="006D51B8" w:rsidRDefault="00183A29" w:rsidP="00183A29">
      <w:pPr>
        <w:spacing w:before="0" w:after="0"/>
        <w:rPr>
          <w:b/>
        </w:rPr>
      </w:pPr>
      <w:r>
        <w:rPr>
          <w:b/>
        </w:rPr>
        <w:t xml:space="preserve">Mit Renishaws neuer WiRE 4™ Software können inVia Anwender chemische Bilder in HD-Qualität aus sehr großen Raman-Datensätzen erstellen.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D51B8" w:rsidRDefault="006D51B8" w:rsidP="00183A29">
      <w:pPr>
        <w:spacing w:before="0" w:after="0"/>
      </w:pPr>
    </w:p>
    <w:p w:rsidR="006D51B8" w:rsidRPr="006D51B8" w:rsidRDefault="006D51B8" w:rsidP="00183A29">
      <w:pPr>
        <w:spacing w:before="0" w:after="0"/>
        <w:rPr>
          <w:b/>
        </w:rPr>
      </w:pPr>
      <w:r>
        <w:rPr>
          <w:b/>
        </w:rPr>
        <w:t>Überragende Bildqualität</w:t>
      </w:r>
    </w:p>
    <w:p w:rsidR="00183A29" w:rsidRDefault="00183A29" w:rsidP="00183A29">
      <w:pPr>
        <w:spacing w:before="0" w:after="0"/>
      </w:pPr>
      <w:r>
        <w:t>Die Technologie hinter WiRE 4™ ermöglicht die Produktion von Bildern, die klar und deutlich sind - sowohl auf dem Bildschirm als auch in gedruckter Form; es besteht kein Bedarf nach Weiterverarbeitung, Interpolation oder Pixelation.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E6888" w:rsidRDefault="00CE6888" w:rsidP="00183A29">
      <w:pPr>
        <w:spacing w:before="0" w:after="0"/>
      </w:pPr>
    </w:p>
    <w:p w:rsidR="00CE6888" w:rsidRPr="00CE6888" w:rsidRDefault="00CE6888" w:rsidP="00CE6888">
      <w:pPr>
        <w:spacing w:before="0" w:after="0"/>
        <w:rPr>
          <w:b/>
        </w:rPr>
      </w:pPr>
      <w:r>
        <w:rPr>
          <w:b/>
        </w:rPr>
        <w:t>Höhere Genauigkeit und verstärktes Vertrauen</w:t>
      </w:r>
    </w:p>
    <w:p w:rsidR="00CE6888" w:rsidRDefault="0066299B" w:rsidP="00CE6888">
      <w:pPr>
        <w:spacing w:before="0" w:after="0"/>
      </w:pPr>
      <w:r>
        <w:t>WiRE 4™ ermöglicht dem Anwender die Erfassung und das Arbeiten mit größeren Raman-Dateien effizienter als je zuvor - mit mehr Details und der Erstellung von reicheren Bildern für die Berichte und wissenschaftliche Veröffentlichungen.</w:t>
      </w:r>
    </w:p>
    <w:p w:rsidR="00CE6888" w:rsidRDefault="00CE6888" w:rsidP="00CE6888">
      <w:pPr>
        <w:spacing w:before="0" w:after="0"/>
      </w:pPr>
      <w:r>
        <w:t xml:space="preserve">Die Informationen, die mit WiRE 4™gewonnen werden, bieten ein umfassendes Verständnis der Proben, da Domänen gleichzeitig quantifiziert, als auch im Detail beschrieben werden können. </w:t>
      </w:r>
      <w:r>
        <w:t>Der Benutzer gewinnt durchweg genauere und repräsentativere Informationen von der Probe, wodurch ein neues Maß an Vertrauen in die Ergebnisse erzielt wird.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E6888" w:rsidRDefault="00CE6888" w:rsidP="00183A29">
      <w:pPr>
        <w:spacing w:before="0" w:after="0"/>
      </w:pPr>
    </w:p>
    <w:p w:rsidR="00E87304" w:rsidRDefault="00E87304" w:rsidP="008004DD">
      <w:pPr>
        <w:spacing w:before="0" w:after="0"/>
      </w:pPr>
      <w:r>
        <w:t>Um weitere Informationen zu erhalten, wenden Sie sich bitte an Ihre Renishaw-Niederlassung oder besuchen Sie uns auf der Pittcon 2013, Stand 249, wo Ihnen unsere Experten gerne diese innovative, neue Funktion vorführen.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16CAC" w:rsidRDefault="00416CAC" w:rsidP="008004DD">
      <w:pPr>
        <w:spacing w:before="0" w:after="0"/>
      </w:pPr>
    </w:p>
    <w:p w:rsidR="00416CAC" w:rsidRDefault="00416CAC" w:rsidP="008004DD">
      <w:pPr>
        <w:spacing w:before="0" w:after="0"/>
      </w:pPr>
      <w:r>
        <w:t xml:space="preserve">Pittcon Conference &amp; Expo 2013 Sonntag 17. </w:t>
      </w:r>
      <w:r>
        <w:noBreakHyphen/>
      </w:r>
      <w:r>
        <w:t xml:space="preserve"> Donnerstag 21. März 2013 Pennsylvania Convention Center, Philadelphia, PA USA.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87304" w:rsidRPr="00C45F5E" w:rsidRDefault="00E87304" w:rsidP="00C45F5E">
      <w:pPr>
        <w:spacing w:before="0" w:after="0"/>
      </w:pPr>
    </w:p>
    <w:p w:rsidR="00CE09ED" w:rsidRPr="00C45F5E" w:rsidRDefault="008004DD" w:rsidP="00C45F5E">
      <w:pPr>
        <w:spacing w:before="0" w:after="0"/>
        <w:jc w:val="center"/>
      </w:pPr>
      <w:r>
        <w:t>Ende</w:t>
      </w:r>
    </w:p>
    <w:p w:rsidR="00C45F5E" w:rsidRPr="00C45F5E" w:rsidRDefault="00C45F5E" w:rsidP="00C45F5E">
      <w:pPr>
        <w:pStyle w:val="Heading2"/>
        <w:rPr>
          <w:rFonts w:cs="Arial"/>
          <w:sz w:val="20"/>
        </w:rPr>
      </w:pPr>
      <w:r>
        <w:rPr>
          <w:rFonts/>
          <w:sz w:val="20"/>
        </w:rPr>
        <w:t>Hinweise für Redakteure</w:t>
      </w:r>
    </w:p>
    <w:p w:rsidR="00C45F5E" w:rsidRPr="00C45F5E" w:rsidRDefault="00C45F5E" w:rsidP="00C45F5E">
      <w:pPr>
        <w:pStyle w:val="Heading3"/>
        <w:rPr>
          <w:rFonts w:cs="Arial"/>
          <w:sz w:val="20"/>
          <w:szCs w:val="20"/>
        </w:rPr>
      </w:pPr>
      <w:r>
        <w:rPr>
          <w:rFonts/>
          <w:sz w:val="20"/>
        </w:rPr>
        <w:t>Firmenprofil Renishaw</w:t>
      </w:r>
    </w:p>
    <w:p w:rsidR="00C45F5E" w:rsidRPr="00C45F5E" w:rsidRDefault="00C45F5E" w:rsidP="00C45F5E">
      <w:pPr>
        <w:rPr>
          <w:rFonts w:cs="Arial"/>
        </w:rPr>
      </w:pPr>
      <w:r>
        <w:t xml:space="preserve">Die Renishaw-Gruppe ist ein weltweit führender Hersteller von Produkten für die industrielle Messtechnik sowie für optische Spektroskopieprodukte, und steht für Innovationen in Produktentwicklung und -fertigung. </w:t>
      </w:r>
    </w:p>
    <w:p w:rsidR="00C45F5E" w:rsidRPr="00C45F5E" w:rsidRDefault="00C45F5E" w:rsidP="00C45F5E">
      <w:pPr>
        <w:rPr>
          <w:rFonts w:cs="Arial"/>
        </w:rPr>
      </w:pPr>
      <w:r>
        <w:t xml:space="preserve">Seit der Gründung im Jahre 1973 beliefert Renishaw weltweit kleine und große Unternehmen mit innovativen Produkten zur Steigerung der Produktivität und Erhöhung der Produktqualität und bietet kostengünstige Automatisierungslösungen an. </w:t>
      </w:r>
    </w:p>
    <w:p w:rsidR="00C45F5E" w:rsidRPr="00C45F5E" w:rsidRDefault="00C45F5E" w:rsidP="00C45F5E">
      <w:pPr>
        <w:rPr>
          <w:rFonts w:cs="Arial"/>
        </w:rPr>
      </w:pPr>
      <w:r>
        <w:t xml:space="preserve">Durch hohe Investitionen in Forschung und Entwicklung (F&amp;E) folgten neue Entwicklungen in den verschiedensten Produktbereichen, wie beispielsweise für Raman-Mikroskope, die für die spektrale Analyse von Materialien eingesetzt werden. </w:t>
      </w:r>
      <w:r>
        <w:t xml:space="preserve">Historisch betragen die Jahresausgaben für F&amp;E, einschließlich der dazugehörigen Engineering-Kosten, rund 17% des Umsatzes. </w:t>
      </w:r>
    </w:p>
    <w:p w:rsidR="00C45F5E" w:rsidRPr="00C45F5E" w:rsidRDefault="00C45F5E" w:rsidP="00C45F5E">
      <w:r>
        <w:t xml:space="preserve">Mehr als 60 Standorte in 32 Ländern und über 3.000 Mitarbeiter garantieren Renishaws Kunden weltweit eine ausgezeichnete Unterstützung mit hervorragendem technischem Know-how und Service. </w:t>
      </w:r>
    </w:p>
    <w:p w:rsidR="00C45F5E" w:rsidRPr="00C45F5E" w:rsidRDefault="00C45F5E" w:rsidP="00C45F5E">
      <w:pPr>
        <w:spacing w:line="240" w:lineRule="auto"/>
      </w:pPr>
      <w:r>
        <w:tab/>
      </w:r>
      <w:r>
        <w:tab/>
      </w:r>
      <w:r>
        <w:tab/>
      </w:r>
    </w:p>
    <w:p w:rsidR="00C45F5E" w:rsidRPr="00C45F5E" w:rsidRDefault="00C45F5E" w:rsidP="00C45F5E">
      <w:pPr>
        <w:pStyle w:val="Heading3"/>
        <w:rPr>
          <w:sz w:val="20"/>
          <w:szCs w:val="20"/>
        </w:rPr>
      </w:pPr>
      <w:r>
        <w:rPr>
          <w:sz w:val="20"/>
        </w:rPr>
        <w:t xml:space="preserve">Weitere Informationen </w:t>
      </w:r>
    </w:p>
    <w:p w:rsidR="00C45F5E" w:rsidRPr="00C45F5E" w:rsidRDefault="00C45F5E" w:rsidP="00C45F5E">
      <w:r>
        <w:t>Bitte kontaktieren Sie:</w:t>
      </w: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45F5E" w:rsidRPr="00C45F5E" w:rsidTr="00183A29">
        <w:tc>
          <w:tcPr>
            <w:tcW w:w="4646" w:type="dxa"/>
          </w:tcPr>
          <w:p w:rsidR="00C45F5E" w:rsidRPr="00C45F5E" w:rsidRDefault="00C45F5E" w:rsidP="00E33EDB">
            <w:pPr>
              <w:spacing w:before="120" w:after="0"/>
            </w:pPr>
            <w:r>
              <w:t>Ian Hayward</w:t>
            </w:r>
            <w:r>
              <w:br/>
            </w:r>
            <w:r>
              <w:t>Renishaw plc</w:t>
            </w:r>
            <w:r>
              <w:br/>
            </w:r>
            <w:r>
              <w:t>Old Town</w:t>
            </w:r>
            <w:r>
              <w:br/>
            </w:r>
            <w:r>
              <w:t>Wotton-under-Edge</w:t>
            </w:r>
            <w:r>
              <w:br/>
            </w:r>
            <w:r>
              <w:t>Gloucestershire</w:t>
            </w:r>
            <w:r>
              <w:br/>
            </w:r>
            <w:r>
              <w:t>GL12 7DW UK</w:t>
            </w:r>
            <w:r>
              <w:br/>
            </w:r>
            <w:r>
              <w:t xml:space="preserve">Tel.: </w:t>
            </w:r>
            <w:r>
              <w:t>+44 1453 523833 (Durchwahl)</w:t>
            </w:r>
            <w:r>
              <w:br/>
            </w:r>
            <w:r>
              <w:t xml:space="preserve">Tel.: </w:t>
            </w:r>
            <w:r>
              <w:t>+44 1453 524524 (Zentrale)</w:t>
            </w:r>
            <w:r>
              <w:br/>
            </w:r>
            <w:r>
              <w:t xml:space="preserve">Fax: </w:t>
            </w:r>
            <w:r>
              <w:t>+44 1453 523901</w:t>
            </w:r>
            <w:r>
              <w:br/>
            </w:r>
            <w:r>
              <w:t xml:space="preserve">E-Mail: </w:t>
            </w:r>
            <w:hyperlink r:id="rId7">
              <w:r>
                <w:rPr>
                  <w:rStyle w:val="Hyperlink"/>
                </w:rPr>
                <w:t>ian.hayward@renishaw.com</w:t>
              </w:r>
            </w:hyperlink>
            <w:r>
              <w:br/>
            </w:r>
            <w:hyperlink r:id="rId8">
              <w:r>
                <w:rPr>
                  <w:rStyle w:val="Hyperlink"/>
                </w:rPr>
                <w:t>www.renishaw.com/raman</w:t>
              </w:r>
            </w:hyperlink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646" w:type="dxa"/>
          </w:tcPr>
          <w:p w:rsidR="00C45F5E" w:rsidRPr="00C45F5E" w:rsidRDefault="00C45F5E" w:rsidP="00183A29">
            <w:pPr>
              <w:rPr>
                <w:color w:val="FF0000"/>
              </w:rPr>
            </w:pPr>
          </w:p>
        </w:tc>
      </w:tr>
    </w:tbl>
    <w:p w:rsidR="00C45F5E" w:rsidRPr="00C45F5E" w:rsidRDefault="00C45F5E" w:rsidP="00C45F5E">
      <w:pPr/>
    </w:p>
    <w:p w:rsidR="00CE09ED" w:rsidRPr="00C45F5E" w:rsidRDefault="00CE09ED" w:rsidP="00C45F5E">
      <w:pPr>
        <w:spacing w:before="0" w:after="0" w:line="240" w:lineRule="auto"/>
      </w:pPr>
    </w:p>
    <w:sectPr w:rsidR="00CE09ED" w:rsidRPr="00C45F5E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CA6114" w:rsidRDefault="00CA6114">
      <w:pPr/>
      <w:r>
        <w:separator/>
      </w:r>
    </w:p>
  </w:endnote>
  <w:endnote w:type="continuationSeparator" w:id="0">
    <w:p w:rsidR="00CA6114" w:rsidRDefault="00CA6114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CA6114" w:rsidRDefault="00CA6114" w:rsidP="001F0337">
    <w:pPr>
      <w:pStyle w:val="Footer"/>
    </w:pPr>
    <w:r>
      <w:tab/>
    </w:r>
    <w:r w:rsidR="006E7B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7BBE">
      <w:rPr>
        <w:rStyle w:val="PageNumber"/>
      </w:rPr>
      <w:fldChar w:fldCharType="separate"/>
    </w:r>
    <w:r w:rsidR="00DA6B9E">
      <w:rPr>
        <w:rStyle w:val="PageNumber"/>
        <w:noProof/>
      </w:rPr>
      <w:t>2</w:t>
    </w:r>
    <w:r w:rsidR="006E7BBE">
      <w:rPr>
        <w:rStyle w:val="PageNumber"/>
      </w:rPr>
      <w:fldChar w:fldCharType="end"/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CA6114" w:rsidRDefault="00CA6114">
      <w:pPr/>
      <w:r>
        <w:separator/>
      </w:r>
    </w:p>
  </w:footnote>
  <w:footnote w:type="continuationSeparator" w:id="0">
    <w:p w:rsidR="00CA6114" w:rsidRDefault="00CA61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CA6114" w:rsidRDefault="00DA6B9E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xmlns:wp="http://schemas.openxmlformats.org/drawingml/2006/wordprocessingDrawing" distT="0" distB="0" distL="114300" distR="114300" simplePos="0" relativeHeight="251661824" behindDoc="0" locked="0" layoutInCell="0" allowOverlap="1">
          <wp:simplePos x="0" y="0"/>
          <wp:positionH relativeFrom="column">
            <wp:posOffset>4222464</wp:posOffset>
          </wp:positionH>
          <wp:positionV relativeFrom="paragraph">
            <wp:posOffset>-204935</wp:posOffset>
          </wp:positionV>
          <wp:extent cx="2207725" cy="824248"/>
          <wp:effectExtent l="19050" t="0" r="207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725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_x0000_s2049" type="#_x0000_t75" style="position:absolute;margin-left:332.25pt;margin-top:-15.4pt;width:173.3pt;height:64.8pt;z-index:-251660800;visibility:visible;mso-wrap-edited:f;mso-position-horizontal-relative:text;mso-position-vertical-relative:text" wrapcoords="-94 0 -94 21349 21600 21349 21600 0 -94 0" o:allowincell="f">
          <v:imagedata r:id="rId2" o:title=""/>
          <w10:wrap xmlns:w10="urn:schemas-microsoft-com:office:word" type="tight" side="left"/>
        </v:shape>
        <o:OLEObject xmlns:o="urn:schemas-microsoft-com:office:office" Type="Embed" ProgID="Word.Picture.8" ShapeID="_x0000_s2049" DrawAspect="Content" ObjectID="_1424153628" r:id="rId3"/>
      </w:pict>
    </w:r>
    <w:r>
      <w:rPr>
        <w:noProof/>
        <w:sz w:val="16"/>
      </w:rPr>
      <w:pict>
        <v:line xmlns:o="urn:schemas-microsoft-com:office:office" xmlns:v="urn:schemas-microsoft-com:vml" id="_x0000_s2052" style="position:absolute;z-index:251658752;mso-position-horizontal-relative:text;mso-position-vertical-relative:text" from="-49.6pt,.55pt" to="518.9pt,.55pt" o:allowincell="f" stroked="f"/>
      </w:pict>
    </w:r>
    <w:r>
      <w:t>News von Renishaw …/Fortsetzung</w:t>
    </w:r>
  </w:p>
</w:hdr>
</file>

<file path=word/header2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CA6114" w:rsidRDefault="00CA6114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xmlns:wp="http://schemas.openxmlformats.org/drawingml/2006/wordprocessingDrawing"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pict>
        <v:line xmlns:o="urn:schemas-microsoft-com:office:office" xmlns:v="urn:schemas-microsoft-com:vml" id="_x0000_s2050" style="position:absolute;z-index:251656704;mso-position-horizontal-relative:text;mso-position-vertical-relative:text" from="-49.6pt,.55pt" to="518.9pt,.55pt" o:allowincell="f" stroked="f"/>
      </w:pict>
    </w:r>
    <w:r>
      <w:t>Renishaw plc</w:t>
    </w:r>
  </w:p>
  <w:p w:rsidR="00CA6114" w:rsidRDefault="00CA6114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6114" w:rsidRDefault="00CA6114">
    <w:pPr>
      <w:pStyle w:val="Header"/>
      <w:spacing w:before="0" w:after="0" w:line="240" w:lineRule="auto"/>
      <w:rPr>
        <w:sz w:val="16"/>
      </w:rPr>
    </w:pP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6114" w:rsidRDefault="00CA6114">
    <w:pPr>
      <w:pStyle w:val="Header"/>
      <w:spacing w:before="0" w:after="0" w:line="240" w:lineRule="auto"/>
      <w:rPr>
        <w:sz w:val="16"/>
      </w:rPr>
    </w:pP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6114" w:rsidRDefault="00CA6114">
    <w:pPr>
      <w:pStyle w:val="Header"/>
      <w:spacing w:before="0" w:after="0" w:line="240" w:lineRule="auto"/>
      <w:rPr>
        <w:sz w:val="16"/>
      </w:rPr>
    </w:pP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6114" w:rsidRDefault="00CA6114">
    <w:pPr>
      <w:pStyle w:val="Header"/>
      <w:spacing w:before="0" w:after="0" w:line="240" w:lineRule="auto"/>
      <w:rPr>
        <w:sz w:val="16"/>
      </w:rPr>
    </w:pPr>
  </w:p>
  <w:p w:rsidR="00CA6114" w:rsidRDefault="00CA6114">
    <w:pPr>
      <w:pStyle w:val="Header"/>
      <w:spacing w:before="0" w:after="60" w:line="240" w:lineRule="auto"/>
      <w:rPr>
        <w:b/>
      </w:rPr>
    </w:pPr>
    <w:r>
      <w:rPr>
        <w:b/>
        <w:sz w:val="36"/>
      </w:rPr>
      <w:t>Neues von Renishaw</w:t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6114" w:rsidRDefault="00CA6114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3383F"/>
    <w:rsid w:val="00043400"/>
    <w:rsid w:val="00043D76"/>
    <w:rsid w:val="000608A8"/>
    <w:rsid w:val="00080B80"/>
    <w:rsid w:val="000978A8"/>
    <w:rsid w:val="000A1250"/>
    <w:rsid w:val="000C1EB6"/>
    <w:rsid w:val="00114075"/>
    <w:rsid w:val="00135B24"/>
    <w:rsid w:val="00173F93"/>
    <w:rsid w:val="00183A29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31342A"/>
    <w:rsid w:val="003445F0"/>
    <w:rsid w:val="00376C25"/>
    <w:rsid w:val="00376D0D"/>
    <w:rsid w:val="00385DD4"/>
    <w:rsid w:val="003A76C8"/>
    <w:rsid w:val="003F4D53"/>
    <w:rsid w:val="00416CAC"/>
    <w:rsid w:val="00463C27"/>
    <w:rsid w:val="004966CA"/>
    <w:rsid w:val="005113F2"/>
    <w:rsid w:val="00556325"/>
    <w:rsid w:val="005A32E8"/>
    <w:rsid w:val="005B226F"/>
    <w:rsid w:val="005F74E6"/>
    <w:rsid w:val="00601142"/>
    <w:rsid w:val="00610885"/>
    <w:rsid w:val="00624383"/>
    <w:rsid w:val="00637FF5"/>
    <w:rsid w:val="00643C90"/>
    <w:rsid w:val="0066299B"/>
    <w:rsid w:val="006903D3"/>
    <w:rsid w:val="00694D28"/>
    <w:rsid w:val="006955DD"/>
    <w:rsid w:val="006C0FA7"/>
    <w:rsid w:val="006D51B8"/>
    <w:rsid w:val="006E30D5"/>
    <w:rsid w:val="006E611D"/>
    <w:rsid w:val="006E7BBE"/>
    <w:rsid w:val="007138E6"/>
    <w:rsid w:val="00754DA3"/>
    <w:rsid w:val="007E1ED1"/>
    <w:rsid w:val="008004DD"/>
    <w:rsid w:val="008259A0"/>
    <w:rsid w:val="00886B58"/>
    <w:rsid w:val="008A38E3"/>
    <w:rsid w:val="008B7676"/>
    <w:rsid w:val="008E79DE"/>
    <w:rsid w:val="0091132B"/>
    <w:rsid w:val="00921006"/>
    <w:rsid w:val="00944227"/>
    <w:rsid w:val="009603E2"/>
    <w:rsid w:val="00970EC7"/>
    <w:rsid w:val="00982158"/>
    <w:rsid w:val="009963C0"/>
    <w:rsid w:val="009C637C"/>
    <w:rsid w:val="009D2575"/>
    <w:rsid w:val="00A07EDA"/>
    <w:rsid w:val="00A649E7"/>
    <w:rsid w:val="00A801C6"/>
    <w:rsid w:val="00A83C65"/>
    <w:rsid w:val="00AE6EAD"/>
    <w:rsid w:val="00B11B37"/>
    <w:rsid w:val="00B146A2"/>
    <w:rsid w:val="00B17550"/>
    <w:rsid w:val="00B33B6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567EA"/>
    <w:rsid w:val="00CA15D3"/>
    <w:rsid w:val="00CA2182"/>
    <w:rsid w:val="00CA455C"/>
    <w:rsid w:val="00CA6114"/>
    <w:rsid w:val="00CD23B8"/>
    <w:rsid w:val="00CE09ED"/>
    <w:rsid w:val="00CE1D7B"/>
    <w:rsid w:val="00CE6888"/>
    <w:rsid w:val="00CF1EFF"/>
    <w:rsid w:val="00D0610B"/>
    <w:rsid w:val="00D06786"/>
    <w:rsid w:val="00D27967"/>
    <w:rsid w:val="00DA5309"/>
    <w:rsid w:val="00DA6B9E"/>
    <w:rsid w:val="00DA7066"/>
    <w:rsid w:val="00DC3C2A"/>
    <w:rsid w:val="00DD1331"/>
    <w:rsid w:val="00E026FA"/>
    <w:rsid w:val="00E044D2"/>
    <w:rsid w:val="00E12D03"/>
    <w:rsid w:val="00E14156"/>
    <w:rsid w:val="00E33EDB"/>
    <w:rsid w:val="00E446AC"/>
    <w:rsid w:val="00E45055"/>
    <w:rsid w:val="00E52E7E"/>
    <w:rsid w:val="00E76D91"/>
    <w:rsid w:val="00E87304"/>
    <w:rsid w:val="00EA5EC2"/>
    <w:rsid w:val="00EC061D"/>
    <w:rsid w:val="00EE0F82"/>
    <w:rsid w:val="00F26C29"/>
    <w:rsid w:val="00F305A0"/>
    <w:rsid w:val="00F31074"/>
    <w:rsid w:val="00FC77A8"/>
    <w:rsid w:val="00FC7932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de-DE" w:eastAsia="de-DE" w:bidi="de-DE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renishaw.com/raman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ian.hayward@renishaw.com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?>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2623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Julia Cooper</cp:lastModifiedBy>
  <cp:revision>2</cp:revision>
  <cp:lastPrinted>2013-02-27T11:54:00Z</cp:lastPrinted>
  <dcterms:created xsi:type="dcterms:W3CDTF">2013-03-07T09:27:00Z</dcterms:created>
  <dcterms:modified xsi:type="dcterms:W3CDTF">2013-03-07T09:27:00Z</dcterms:modified>
</cp:coreProperties>
</file>